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DB" w:rsidRPr="00676C13" w:rsidRDefault="004070DB" w:rsidP="0009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C13" w:rsidRPr="00676C13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13">
        <w:rPr>
          <w:rFonts w:ascii="Times New Roman" w:hAnsi="Times New Roman" w:cs="Times New Roman"/>
          <w:b/>
          <w:sz w:val="28"/>
          <w:szCs w:val="28"/>
        </w:rPr>
        <w:t>ФЕДЕРАЛЬНАЯ СЛУЖБА ГОСУДАРСТВЕННОЙ СТАТИСТИКИ</w:t>
      </w:r>
    </w:p>
    <w:p w:rsidR="00676C13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3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13">
        <w:rPr>
          <w:rFonts w:ascii="Times New Roman" w:hAnsi="Times New Roman" w:cs="Times New Roman"/>
          <w:b/>
          <w:sz w:val="28"/>
          <w:szCs w:val="28"/>
        </w:rPr>
        <w:t>(РОССТАТ)</w:t>
      </w:r>
    </w:p>
    <w:p w:rsidR="00676C13" w:rsidRPr="00676C13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3" w:rsidRPr="00676C13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13"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 государственной статистики по Республике Карелия</w:t>
      </w:r>
    </w:p>
    <w:p w:rsidR="00676C13" w:rsidRPr="00676C13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3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3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1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6C13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3" w:rsidRPr="00676C13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3" w:rsidRPr="00676C13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24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13">
        <w:rPr>
          <w:rFonts w:ascii="Times New Roman" w:hAnsi="Times New Roman" w:cs="Times New Roman"/>
          <w:b/>
          <w:sz w:val="28"/>
          <w:szCs w:val="28"/>
        </w:rPr>
        <w:t>1 августа 2022 года                                                                                    № 11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76C13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3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3" w:rsidRDefault="00676C13" w:rsidP="00676C1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643" w:rsidRPr="00667643" w:rsidRDefault="00667643" w:rsidP="00E94AE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43">
        <w:rPr>
          <w:rFonts w:ascii="Times New Roman" w:hAnsi="Times New Roman" w:cs="Times New Roman"/>
          <w:b/>
          <w:sz w:val="28"/>
          <w:szCs w:val="28"/>
        </w:rPr>
        <w:t>О</w:t>
      </w:r>
      <w:r w:rsidR="00E94AEB">
        <w:rPr>
          <w:rFonts w:ascii="Times New Roman" w:hAnsi="Times New Roman" w:cs="Times New Roman"/>
          <w:b/>
          <w:sz w:val="28"/>
          <w:szCs w:val="28"/>
        </w:rPr>
        <w:t>б</w:t>
      </w:r>
      <w:r w:rsidRPr="00667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AEB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521C2F" w:rsidRPr="00521C2F">
        <w:rPr>
          <w:rFonts w:ascii="Times New Roman" w:hAnsi="Times New Roman" w:cs="Times New Roman"/>
          <w:b/>
          <w:sz w:val="28"/>
          <w:szCs w:val="28"/>
        </w:rPr>
        <w:t>реестр</w:t>
      </w:r>
      <w:r w:rsidR="00521C2F">
        <w:rPr>
          <w:rFonts w:ascii="Times New Roman" w:hAnsi="Times New Roman" w:cs="Times New Roman"/>
          <w:b/>
          <w:sz w:val="28"/>
          <w:szCs w:val="28"/>
        </w:rPr>
        <w:t>а</w:t>
      </w:r>
      <w:r w:rsidR="00521C2F" w:rsidRPr="00521C2F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рисков, возникающих при осуществлении закупок </w:t>
      </w:r>
      <w:r w:rsidR="00E94A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67643">
        <w:rPr>
          <w:rFonts w:ascii="Times New Roman" w:hAnsi="Times New Roman" w:cs="Times New Roman"/>
          <w:b/>
          <w:sz w:val="28"/>
          <w:szCs w:val="28"/>
        </w:rPr>
        <w:t>Территориально</w:t>
      </w:r>
      <w:r w:rsidR="00E94AEB">
        <w:rPr>
          <w:rFonts w:ascii="Times New Roman" w:hAnsi="Times New Roman" w:cs="Times New Roman"/>
          <w:b/>
          <w:sz w:val="28"/>
          <w:szCs w:val="28"/>
        </w:rPr>
        <w:t>м органе</w:t>
      </w:r>
      <w:r w:rsidRPr="00667643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государственной статистики по Республике Карелия </w:t>
      </w:r>
    </w:p>
    <w:p w:rsidR="00667643" w:rsidRPr="00667643" w:rsidRDefault="00667643" w:rsidP="00E94AE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643" w:rsidRDefault="00667643" w:rsidP="00667643">
      <w:pPr>
        <w:shd w:val="clear" w:color="auto" w:fill="FFFFFF"/>
        <w:spacing w:line="274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676C13" w:rsidRPr="00667643" w:rsidRDefault="00676C13" w:rsidP="00667643">
      <w:pPr>
        <w:shd w:val="clear" w:color="auto" w:fill="FFFFFF"/>
        <w:spacing w:line="274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667643" w:rsidRPr="00667643" w:rsidRDefault="00667643" w:rsidP="0066764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43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25</w:t>
      </w:r>
      <w:r w:rsidR="00100F52">
        <w:rPr>
          <w:rFonts w:ascii="Times New Roman" w:hAnsi="Times New Roman" w:cs="Times New Roman"/>
          <w:sz w:val="28"/>
          <w:szCs w:val="28"/>
        </w:rPr>
        <w:t>.</w:t>
      </w:r>
      <w:r w:rsidRPr="00667643">
        <w:rPr>
          <w:rFonts w:ascii="Times New Roman" w:hAnsi="Times New Roman" w:cs="Times New Roman"/>
          <w:sz w:val="28"/>
          <w:szCs w:val="28"/>
        </w:rPr>
        <w:t xml:space="preserve">12.2008 № 273-ФЗ                  «О противодействии коррупции», </w:t>
      </w:r>
      <w:r w:rsidRPr="00667643">
        <w:rPr>
          <w:rFonts w:ascii="Times New Roman" w:hAnsi="Times New Roman" w:cs="Times New Roman"/>
          <w:b/>
          <w:bCs/>
          <w:spacing w:val="72"/>
          <w:sz w:val="28"/>
          <w:szCs w:val="28"/>
        </w:rPr>
        <w:t>приказываю:</w:t>
      </w:r>
    </w:p>
    <w:p w:rsidR="00E94AEB" w:rsidRDefault="00DE458E" w:rsidP="00C244A7">
      <w:pPr>
        <w:pStyle w:val="a6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244A7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</w:t>
      </w:r>
      <w:r w:rsidR="00C244A7" w:rsidRPr="00C244A7">
        <w:rPr>
          <w:rFonts w:ascii="Times New Roman" w:hAnsi="Times New Roman" w:cs="Times New Roman"/>
          <w:spacing w:val="-1"/>
          <w:sz w:val="28"/>
          <w:szCs w:val="28"/>
        </w:rPr>
        <w:t xml:space="preserve">реестр коррупционных рисков, возникающих при осуществлении закупок </w:t>
      </w:r>
      <w:r w:rsidR="00E94AEB" w:rsidRPr="00C244A7">
        <w:rPr>
          <w:rFonts w:ascii="Times New Roman" w:hAnsi="Times New Roman" w:cs="Times New Roman"/>
          <w:sz w:val="28"/>
          <w:szCs w:val="28"/>
        </w:rPr>
        <w:t>в Территориальном органе Федеральной службы государственной статистики по Республике Карелия</w:t>
      </w:r>
      <w:r w:rsidRPr="00C244A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F5A9C" w:rsidRPr="00C244A7" w:rsidRDefault="002F5A9C" w:rsidP="002F5A9C">
      <w:pPr>
        <w:pStyle w:val="a6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23.12.2021 г. № 169 «</w:t>
      </w:r>
      <w:r w:rsidRPr="002F5A9C">
        <w:rPr>
          <w:rFonts w:ascii="Times New Roman" w:hAnsi="Times New Roman" w:cs="Times New Roman"/>
          <w:sz w:val="28"/>
          <w:szCs w:val="28"/>
        </w:rPr>
        <w:t>Об утверждении реестра коррупционных рисков, возникающих при осуществлении закупок в Территориальном органе Федеральной службы государственной статистики по Республике Карелия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667643" w:rsidRPr="004068BF" w:rsidRDefault="00667643" w:rsidP="00C244A7">
      <w:pPr>
        <w:pStyle w:val="a6"/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068BF" w:rsidRPr="00667643" w:rsidTr="004068BF">
        <w:tc>
          <w:tcPr>
            <w:tcW w:w="9571" w:type="dxa"/>
          </w:tcPr>
          <w:p w:rsidR="004068BF" w:rsidRDefault="004068BF" w:rsidP="00437CB2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47" w:rsidRPr="00667643" w:rsidRDefault="00575847" w:rsidP="00437CB2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BF" w:rsidRDefault="004068BF" w:rsidP="004068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4068BF" w:rsidRPr="00667643" w:rsidRDefault="004068BF" w:rsidP="004068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р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Л.С. Король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4068BF" w:rsidRDefault="004068BF" w:rsidP="00437CB2">
            <w:pPr>
              <w:pStyle w:val="2"/>
              <w:jc w:val="left"/>
              <w:outlineLvl w:val="1"/>
              <w:rPr>
                <w:szCs w:val="28"/>
              </w:rPr>
            </w:pPr>
          </w:p>
          <w:p w:rsidR="00575847" w:rsidRPr="00575847" w:rsidRDefault="00575847" w:rsidP="00575847"/>
          <w:p w:rsidR="004068BF" w:rsidRPr="00667643" w:rsidRDefault="004068BF" w:rsidP="004068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</w:t>
            </w:r>
          </w:p>
        </w:tc>
      </w:tr>
    </w:tbl>
    <w:p w:rsidR="004068BF" w:rsidRDefault="004068BF" w:rsidP="00437CB2">
      <w:pPr>
        <w:jc w:val="center"/>
        <w:rPr>
          <w:rFonts w:ascii="Times New Roman" w:hAnsi="Times New Roman" w:cs="Times New Roman"/>
          <w:sz w:val="28"/>
          <w:szCs w:val="28"/>
        </w:rPr>
        <w:sectPr w:rsidR="004068BF" w:rsidSect="00DD38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4218"/>
      </w:tblGrid>
      <w:tr w:rsidR="00C244A7" w:rsidRPr="00667643" w:rsidTr="005D69CA">
        <w:tc>
          <w:tcPr>
            <w:tcW w:w="5334" w:type="dxa"/>
          </w:tcPr>
          <w:p w:rsidR="00C244A7" w:rsidRPr="00667643" w:rsidRDefault="00C244A7" w:rsidP="005D69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18" w:type="dxa"/>
          </w:tcPr>
          <w:p w:rsidR="00FD5518" w:rsidRDefault="00FD5518" w:rsidP="005D69C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A7" w:rsidRPr="00667643" w:rsidRDefault="00C244A7" w:rsidP="005D69C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244A7" w:rsidRPr="00667643" w:rsidRDefault="00C244A7" w:rsidP="005D69C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244A7" w:rsidRPr="00667643" w:rsidRDefault="00C244A7" w:rsidP="005D69C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spellStart"/>
            <w:r w:rsidRPr="00667643">
              <w:rPr>
                <w:rFonts w:ascii="Times New Roman" w:hAnsi="Times New Roman" w:cs="Times New Roman"/>
                <w:sz w:val="28"/>
                <w:szCs w:val="28"/>
              </w:rPr>
              <w:t>Карелиястата</w:t>
            </w:r>
            <w:proofErr w:type="spellEnd"/>
          </w:p>
          <w:p w:rsidR="00C244A7" w:rsidRPr="00667643" w:rsidRDefault="00C244A7" w:rsidP="00676C13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76C1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C1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8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C1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C244A7" w:rsidRDefault="00C244A7" w:rsidP="00C244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D5518" w:rsidRPr="00667643" w:rsidRDefault="00FD5518" w:rsidP="00C244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244A7" w:rsidRPr="004068BF" w:rsidRDefault="00C244A7" w:rsidP="00C244A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8BF">
        <w:rPr>
          <w:rFonts w:ascii="Times New Roman" w:hAnsi="Times New Roman" w:cs="Times New Roman"/>
          <w:b/>
          <w:bCs/>
          <w:sz w:val="28"/>
          <w:szCs w:val="28"/>
        </w:rPr>
        <w:t xml:space="preserve">Р Е </w:t>
      </w:r>
      <w:proofErr w:type="spellStart"/>
      <w:proofErr w:type="gramStart"/>
      <w:r w:rsidRPr="004068BF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proofErr w:type="gramEnd"/>
      <w:r w:rsidRPr="004068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Т Р</w:t>
      </w:r>
    </w:p>
    <w:p w:rsidR="00C244A7" w:rsidRDefault="00C244A7" w:rsidP="00C244A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8BF">
        <w:rPr>
          <w:rFonts w:ascii="Times New Roman" w:hAnsi="Times New Roman" w:cs="Times New Roman"/>
          <w:b/>
          <w:bCs/>
          <w:sz w:val="28"/>
          <w:szCs w:val="28"/>
        </w:rPr>
        <w:t>КОРРУПЦИОНН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ЫХ РИСКОВ, ВОЗНИКАЮЩИХ ПРИ ОСУЩЕСТВЛЕНИИ ЗАКУПОК </w:t>
      </w:r>
    </w:p>
    <w:p w:rsidR="00FD5518" w:rsidRDefault="00FD5518" w:rsidP="00C244A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4A7" w:rsidRDefault="00C244A7" w:rsidP="00C244A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5180"/>
      </w:tblGrid>
      <w:tr w:rsidR="00C244A7" w:rsidRPr="00B55817" w:rsidTr="005D69CA">
        <w:trPr>
          <w:jc w:val="center"/>
        </w:trPr>
        <w:tc>
          <w:tcPr>
            <w:tcW w:w="817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5581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5581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5180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возможного коррупционного риска</w:t>
            </w:r>
          </w:p>
        </w:tc>
      </w:tr>
      <w:tr w:rsidR="00C244A7" w:rsidRPr="00B55817" w:rsidTr="005D69CA">
        <w:trPr>
          <w:jc w:val="center"/>
        </w:trPr>
        <w:tc>
          <w:tcPr>
            <w:tcW w:w="817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1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5180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локального акта, поэтапно устанавливающего порядок действий и сроки их выполнения,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C244A7" w:rsidRPr="00B55817" w:rsidTr="005D69CA">
        <w:trPr>
          <w:jc w:val="center"/>
        </w:trPr>
        <w:tc>
          <w:tcPr>
            <w:tcW w:w="817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при отсутствии потребности</w:t>
            </w:r>
          </w:p>
        </w:tc>
        <w:tc>
          <w:tcPr>
            <w:tcW w:w="5180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к закупке товар, работа и (или) услуга в действительности не соответствует задачам соответствующего отдела, закупающего товар, работу и (или) услугу</w:t>
            </w:r>
          </w:p>
        </w:tc>
      </w:tr>
      <w:tr w:rsidR="00C244A7" w:rsidRPr="00B55817" w:rsidTr="005D69CA">
        <w:trPr>
          <w:jc w:val="center"/>
        </w:trPr>
        <w:tc>
          <w:tcPr>
            <w:tcW w:w="817" w:type="dxa"/>
            <w:vMerge w:val="restart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686" w:type="dxa"/>
            <w:vMerge w:val="restart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личной заинтересованности между участниками закупок</w:t>
            </w:r>
          </w:p>
        </w:tc>
        <w:tc>
          <w:tcPr>
            <w:tcW w:w="5180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 Описание объекта закупки в техническом задании дано некорректно или не соответствует действительности, с целью привлечения аффилированного 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C244A7" w:rsidRPr="00B55817" w:rsidTr="005D69CA">
        <w:trPr>
          <w:jc w:val="center"/>
        </w:trPr>
        <w:tc>
          <w:tcPr>
            <w:tcW w:w="817" w:type="dxa"/>
            <w:vMerge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0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 Нарушение оформления документации с целью привлечения конкретного поставщика (исполнителя)</w:t>
            </w:r>
          </w:p>
        </w:tc>
      </w:tr>
      <w:tr w:rsidR="00C244A7" w:rsidRPr="00B55817" w:rsidTr="005D69CA">
        <w:trPr>
          <w:jc w:val="center"/>
        </w:trPr>
        <w:tc>
          <w:tcPr>
            <w:tcW w:w="817" w:type="dxa"/>
            <w:vMerge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0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3.3. Необоснованный выбор одного и того 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</w:tbl>
    <w:p w:rsidR="00C244A7" w:rsidRDefault="00C244A7" w:rsidP="00C244A7">
      <w:r>
        <w:br w:type="page"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5180"/>
      </w:tblGrid>
      <w:tr w:rsidR="00C244A7" w:rsidRPr="00B55817" w:rsidTr="005D69CA">
        <w:trPr>
          <w:jc w:val="center"/>
        </w:trPr>
        <w:tc>
          <w:tcPr>
            <w:tcW w:w="817" w:type="dxa"/>
            <w:vMerge w:val="restart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0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C244A7" w:rsidRPr="00B55817" w:rsidTr="005D69CA">
        <w:trPr>
          <w:jc w:val="center"/>
        </w:trPr>
        <w:tc>
          <w:tcPr>
            <w:tcW w:w="817" w:type="dxa"/>
            <w:vMerge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0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3.5. Заключение договоров гражданско-правового характера с физическими лицами при наличии конфликта интересов</w:t>
            </w:r>
          </w:p>
        </w:tc>
      </w:tr>
      <w:tr w:rsidR="00C244A7" w:rsidRPr="00B55817" w:rsidTr="005D69CA">
        <w:trPr>
          <w:jc w:val="center"/>
        </w:trPr>
        <w:tc>
          <w:tcPr>
            <w:tcW w:w="817" w:type="dxa"/>
            <w:vMerge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0" w:type="dxa"/>
          </w:tcPr>
          <w:p w:rsidR="00C244A7" w:rsidRPr="00B55817" w:rsidRDefault="00C244A7" w:rsidP="005D69CA">
            <w:pPr>
              <w:tabs>
                <w:tab w:val="left" w:pos="5805"/>
              </w:tabs>
              <w:spacing w:after="1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3.6. Сокрытие информации о выявленных нарушениях при исполнении поставщиком (исполнителем) обязательств по контракту, а равно сокрытие информации о недостатках при приемке выполненной поставщиком (исполнителем) работы, услуги</w:t>
            </w:r>
          </w:p>
        </w:tc>
      </w:tr>
      <w:tr w:rsidR="00C244A7" w:rsidRPr="00B55817" w:rsidTr="005D69CA">
        <w:trPr>
          <w:jc w:val="center"/>
        </w:trPr>
        <w:tc>
          <w:tcPr>
            <w:tcW w:w="817" w:type="dxa"/>
            <w:vMerge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0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3.7.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Ненаправление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/необоснованно длительное направление заказчиком претензий об уплате неустойки при наличии факта неисполнения и (или) ненадлежащего исполнения поставщиком (исполнителем) обязательств по контракту </w:t>
            </w:r>
          </w:p>
        </w:tc>
      </w:tr>
      <w:tr w:rsidR="00C244A7" w:rsidRPr="00B55817" w:rsidTr="005D69CA">
        <w:trPr>
          <w:jc w:val="center"/>
        </w:trPr>
        <w:tc>
          <w:tcPr>
            <w:tcW w:w="817" w:type="dxa"/>
            <w:vMerge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0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3.8.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за собой привлечение аффилированного поставщика (исполнителя)</w:t>
            </w:r>
          </w:p>
        </w:tc>
      </w:tr>
      <w:tr w:rsidR="00C244A7" w:rsidRPr="00B55817" w:rsidTr="005D69CA">
        <w:trPr>
          <w:jc w:val="center"/>
        </w:trPr>
        <w:tc>
          <w:tcPr>
            <w:tcW w:w="817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180" w:type="dxa"/>
          </w:tcPr>
          <w:p w:rsidR="00C244A7" w:rsidRPr="00B55817" w:rsidRDefault="00C244A7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Необоснованное завышение (занижение) начальной (максимальной) цены контракта при осуществлении закупки в целях привлечения конкретного поставщика (исполнителя), аффилированного с заказчиком</w:t>
            </w:r>
          </w:p>
        </w:tc>
      </w:tr>
    </w:tbl>
    <w:p w:rsidR="00FD5518" w:rsidRDefault="00FD5518">
      <w:r>
        <w:br w:type="page"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5180"/>
      </w:tblGrid>
      <w:tr w:rsidR="002F5A9C" w:rsidRPr="00B55817" w:rsidTr="005D69CA">
        <w:trPr>
          <w:jc w:val="center"/>
        </w:trPr>
        <w:tc>
          <w:tcPr>
            <w:tcW w:w="817" w:type="dxa"/>
          </w:tcPr>
          <w:p w:rsidR="002F5A9C" w:rsidRDefault="002F5A9C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2F5A9C" w:rsidRDefault="002F5A9C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A9C">
              <w:rPr>
                <w:rFonts w:ascii="Times New Roman" w:hAnsi="Times New Roman" w:cs="Times New Roman"/>
                <w:bCs/>
                <w:sz w:val="28"/>
                <w:szCs w:val="28"/>
              </w:rPr>
              <w:t>Несоответствие извещения об осуществлении закупки, документации о закупке имеющимся финансовым ресурсам (закладываемое в извещение, документацию качество продукции не соответствует (ниже) цене этой продукции, заложенной в проект контракта)</w:t>
            </w:r>
          </w:p>
        </w:tc>
        <w:tc>
          <w:tcPr>
            <w:tcW w:w="5180" w:type="dxa"/>
          </w:tcPr>
          <w:p w:rsidR="002F5A9C" w:rsidRDefault="002F5A9C" w:rsidP="002F5A9C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F5A9C">
              <w:rPr>
                <w:rFonts w:ascii="Times New Roman" w:hAnsi="Times New Roman" w:cs="Times New Roman"/>
                <w:bCs/>
                <w:sz w:val="28"/>
                <w:szCs w:val="28"/>
              </w:rPr>
              <w:t>редварительн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Pr="002F5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сговор с участниками закупок, возврат определенной суммы от стоимости контракта поставщиком заказчику</w:t>
            </w:r>
          </w:p>
        </w:tc>
      </w:tr>
      <w:tr w:rsidR="002F5A9C" w:rsidRPr="00B55817" w:rsidTr="005D69CA">
        <w:trPr>
          <w:jc w:val="center"/>
        </w:trPr>
        <w:tc>
          <w:tcPr>
            <w:tcW w:w="817" w:type="dxa"/>
          </w:tcPr>
          <w:p w:rsidR="002F5A9C" w:rsidRDefault="002F5A9C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2F5A9C" w:rsidRDefault="002F5A9C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A9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неполной или недостоверной информации о закупке, подмена разъяснений ссылками на документацию о закупке. Прямые контакты и переговоры с поставщиком</w:t>
            </w:r>
          </w:p>
        </w:tc>
        <w:tc>
          <w:tcPr>
            <w:tcW w:w="5180" w:type="dxa"/>
          </w:tcPr>
          <w:p w:rsidR="002F5A9C" w:rsidRDefault="002F5A9C" w:rsidP="002F5A9C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F5A9C">
              <w:rPr>
                <w:rFonts w:ascii="Times New Roman" w:hAnsi="Times New Roman" w:cs="Times New Roman"/>
                <w:bCs/>
                <w:sz w:val="28"/>
                <w:szCs w:val="28"/>
              </w:rPr>
              <w:t>редварительн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Pr="002F5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сговор с участниками закупок, возврат определенной суммы от стоимости контракта поставщиком заказчику</w:t>
            </w:r>
          </w:p>
        </w:tc>
      </w:tr>
      <w:tr w:rsidR="002F5A9C" w:rsidRPr="00B55817" w:rsidTr="005D69CA">
        <w:trPr>
          <w:jc w:val="center"/>
        </w:trPr>
        <w:tc>
          <w:tcPr>
            <w:tcW w:w="817" w:type="dxa"/>
          </w:tcPr>
          <w:p w:rsidR="002F5A9C" w:rsidRDefault="002F5A9C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2F5A9C" w:rsidRDefault="00FD5518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18">
              <w:rPr>
                <w:rFonts w:ascii="Times New Roman" w:hAnsi="Times New Roman" w:cs="Times New Roman"/>
                <w:bCs/>
                <w:sz w:val="28"/>
                <w:szCs w:val="28"/>
              </w:rPr>
              <w:t>Необоснованная дискриминация в отношении поставщиков при рассмотрении и оценке заявок. Использование необъявленных или недопустимых критериев оценки заявок, условий допуска к участию в закупке. Оглашение неполной или неверной информации о предложениях конкурентов. Подлог, добавление, изъятие, непринятие заявок на участие в закупках.</w:t>
            </w:r>
          </w:p>
        </w:tc>
        <w:tc>
          <w:tcPr>
            <w:tcW w:w="5180" w:type="dxa"/>
          </w:tcPr>
          <w:p w:rsidR="002F5A9C" w:rsidRDefault="00FD5518" w:rsidP="00FD551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D5518">
              <w:rPr>
                <w:rFonts w:ascii="Times New Roman" w:hAnsi="Times New Roman" w:cs="Times New Roman"/>
                <w:bCs/>
                <w:sz w:val="28"/>
                <w:szCs w:val="28"/>
              </w:rPr>
              <w:t>редварительн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Pr="00FD5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сговор с участниками закупок, возврат определенной суммы от стоимости контракта поставщиком заказчику</w:t>
            </w:r>
          </w:p>
        </w:tc>
      </w:tr>
      <w:tr w:rsidR="002F5A9C" w:rsidRPr="00B55817" w:rsidTr="005D69CA">
        <w:trPr>
          <w:jc w:val="center"/>
        </w:trPr>
        <w:tc>
          <w:tcPr>
            <w:tcW w:w="817" w:type="dxa"/>
          </w:tcPr>
          <w:p w:rsidR="002F5A9C" w:rsidRDefault="002F5A9C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2F5A9C" w:rsidRDefault="00FD5518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18">
              <w:rPr>
                <w:rFonts w:ascii="Times New Roman" w:hAnsi="Times New Roman" w:cs="Times New Roman"/>
                <w:bCs/>
                <w:sz w:val="28"/>
                <w:szCs w:val="28"/>
              </w:rPr>
              <w:t>Необоснованные изменения условий контракта, затягивание (ускорение) заключения контракта, запрос недопустимых или необъявленных документов и сведений при заключении контракта, необоснованный отказ от заключения контракта</w:t>
            </w:r>
          </w:p>
        </w:tc>
        <w:tc>
          <w:tcPr>
            <w:tcW w:w="5180" w:type="dxa"/>
          </w:tcPr>
          <w:p w:rsidR="002F5A9C" w:rsidRDefault="00FD5518" w:rsidP="00FD551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D5518">
              <w:rPr>
                <w:rFonts w:ascii="Times New Roman" w:hAnsi="Times New Roman" w:cs="Times New Roman"/>
                <w:bCs/>
                <w:sz w:val="28"/>
                <w:szCs w:val="28"/>
              </w:rPr>
              <w:t>редварительн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 сговор</w:t>
            </w:r>
            <w:r w:rsidRPr="00FD5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участниками закупок, наличи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D5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среди участников закупки родственников, свойственников, возврат определенной суммы от стоимости контракта поставщиком заказчику</w:t>
            </w:r>
          </w:p>
        </w:tc>
      </w:tr>
      <w:tr w:rsidR="002F5A9C" w:rsidRPr="00B55817" w:rsidTr="005D69CA">
        <w:trPr>
          <w:jc w:val="center"/>
        </w:trPr>
        <w:tc>
          <w:tcPr>
            <w:tcW w:w="817" w:type="dxa"/>
          </w:tcPr>
          <w:p w:rsidR="002F5A9C" w:rsidRDefault="002F5A9C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2F5A9C" w:rsidRDefault="00FD5518" w:rsidP="005D69C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Необоснованно жесткие (мягкие) или необъявленные условия приемки продукции по контракту, необоснованное затягивание (ускорение) приемки по контракту, намеренное отсутствие </w:t>
            </w:r>
            <w:proofErr w:type="gramStart"/>
            <w:r w:rsidRPr="00FD551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FD5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гарантий или игнорирование гарантийного периода, отсутствие требования неустойки при нарушении условий контракта</w:t>
            </w:r>
          </w:p>
        </w:tc>
        <w:tc>
          <w:tcPr>
            <w:tcW w:w="5180" w:type="dxa"/>
          </w:tcPr>
          <w:p w:rsidR="002F5A9C" w:rsidRDefault="00FD5518" w:rsidP="00FD5518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D5518">
              <w:rPr>
                <w:rFonts w:ascii="Times New Roman" w:hAnsi="Times New Roman" w:cs="Times New Roman"/>
                <w:bCs/>
                <w:sz w:val="28"/>
                <w:szCs w:val="28"/>
              </w:rPr>
              <w:t>редварительн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Pr="00FD5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сговор с участниками закупок, возврат определенной суммы от стоимости контракта поставщиком заказчику</w:t>
            </w:r>
          </w:p>
        </w:tc>
      </w:tr>
    </w:tbl>
    <w:p w:rsidR="00C244A7" w:rsidRPr="004068BF" w:rsidRDefault="00C244A7" w:rsidP="00C244A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4A7" w:rsidRPr="004068BF" w:rsidRDefault="00C244A7" w:rsidP="00C244A7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4A7" w:rsidRPr="00E374F4" w:rsidRDefault="00C244A7" w:rsidP="00C244A7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76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9320F" w:rsidRPr="00E374F4" w:rsidRDefault="00B9320F" w:rsidP="004068BF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320F" w:rsidRPr="00E374F4" w:rsidSect="004068BF">
      <w:pgSz w:w="11906" w:h="16838" w:code="9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680"/>
    <w:multiLevelType w:val="hybridMultilevel"/>
    <w:tmpl w:val="D104399E"/>
    <w:lvl w:ilvl="0" w:tplc="DBF013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9230FD0"/>
    <w:multiLevelType w:val="hybridMultilevel"/>
    <w:tmpl w:val="920EC8B0"/>
    <w:lvl w:ilvl="0" w:tplc="B3C2C7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96"/>
    <w:rsid w:val="000764D7"/>
    <w:rsid w:val="00085F06"/>
    <w:rsid w:val="0009560A"/>
    <w:rsid w:val="00100F52"/>
    <w:rsid w:val="00214951"/>
    <w:rsid w:val="002F5A9C"/>
    <w:rsid w:val="00322552"/>
    <w:rsid w:val="00337593"/>
    <w:rsid w:val="003F0F3F"/>
    <w:rsid w:val="004068BF"/>
    <w:rsid w:val="004070DB"/>
    <w:rsid w:val="00486796"/>
    <w:rsid w:val="00521C2F"/>
    <w:rsid w:val="00530FC3"/>
    <w:rsid w:val="00575847"/>
    <w:rsid w:val="00667643"/>
    <w:rsid w:val="00676C13"/>
    <w:rsid w:val="009B2324"/>
    <w:rsid w:val="00B91A2E"/>
    <w:rsid w:val="00B9320F"/>
    <w:rsid w:val="00C244A7"/>
    <w:rsid w:val="00D55644"/>
    <w:rsid w:val="00DD3835"/>
    <w:rsid w:val="00DE458E"/>
    <w:rsid w:val="00E374F4"/>
    <w:rsid w:val="00E94AEB"/>
    <w:rsid w:val="00F04D02"/>
    <w:rsid w:val="00F67261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76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2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932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67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667643"/>
    <w:pPr>
      <w:spacing w:after="0" w:afterAutospacing="1" w:line="240" w:lineRule="auto"/>
      <w:ind w:left="142" w:hanging="14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76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2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932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67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667643"/>
    <w:pPr>
      <w:spacing w:after="0" w:afterAutospacing="1" w:line="240" w:lineRule="auto"/>
      <w:ind w:left="142" w:hanging="14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9F8D-D5A9-487B-A220-C077754B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Пользователь Windows</cp:lastModifiedBy>
  <cp:revision>2</cp:revision>
  <cp:lastPrinted>2021-12-22T08:55:00Z</cp:lastPrinted>
  <dcterms:created xsi:type="dcterms:W3CDTF">2022-08-02T08:55:00Z</dcterms:created>
  <dcterms:modified xsi:type="dcterms:W3CDTF">2022-08-02T08:55:00Z</dcterms:modified>
</cp:coreProperties>
</file>